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1E06" w14:textId="77777777" w:rsidR="00C72168" w:rsidRDefault="00C72168">
      <w:pPr>
        <w:jc w:val="right"/>
        <w:rPr>
          <w:i/>
          <w:sz w:val="20"/>
          <w:szCs w:val="20"/>
        </w:rPr>
      </w:pPr>
    </w:p>
    <w:p w14:paraId="3DF6A0D9" w14:textId="77777777" w:rsidR="00C72168" w:rsidRDefault="00000000">
      <w:pPr>
        <w:jc w:val="right"/>
        <w:rPr>
          <w:i/>
          <w:sz w:val="20"/>
          <w:szCs w:val="20"/>
        </w:rPr>
      </w:pPr>
      <w:r>
        <w:rPr>
          <w:i/>
          <w:sz w:val="20"/>
          <w:szCs w:val="20"/>
        </w:rPr>
        <w:t>Zur sofortigen Veröffentlichung</w:t>
      </w:r>
    </w:p>
    <w:p w14:paraId="3985886A" w14:textId="77777777" w:rsidR="00C72168" w:rsidRDefault="00C72168">
      <w:pPr>
        <w:jc w:val="right"/>
        <w:rPr>
          <w:b/>
          <w:sz w:val="28"/>
          <w:szCs w:val="28"/>
        </w:rPr>
      </w:pPr>
    </w:p>
    <w:p w14:paraId="52CF0D58" w14:textId="77777777" w:rsidR="00C72168" w:rsidRDefault="00000000">
      <w:pPr>
        <w:jc w:val="center"/>
        <w:rPr>
          <w:b/>
        </w:rPr>
      </w:pPr>
      <w:r>
        <w:rPr>
          <w:b/>
          <w:sz w:val="28"/>
          <w:szCs w:val="28"/>
        </w:rPr>
        <w:t>Delta bringt einen leistungsstarken Mittelmotor auf den europäischen E-Bike-Markt</w:t>
      </w:r>
    </w:p>
    <w:p w14:paraId="6C3FC3B4" w14:textId="77777777" w:rsidR="00C72168" w:rsidRDefault="00C72168"/>
    <w:p w14:paraId="6543CF51" w14:textId="77777777" w:rsidR="00C72168" w:rsidRDefault="00000000">
      <w:pPr>
        <w:jc w:val="both"/>
      </w:pPr>
      <w:r>
        <w:rPr>
          <w:i/>
        </w:rPr>
        <w:t xml:space="preserve">FRANKFURT, 3. Juli 2024 </w:t>
      </w:r>
      <w:r>
        <w:t xml:space="preserve">- Delta, ein weltweit führendes Unternehmen im Bereich Energiemanagement und Anbieter von IoT-basierten, intelligenten, umweltfreundlichen Lösungen, hat die Markteinführung eines innovativen Mittelmotors für E-Bikes in Europa während der </w:t>
      </w:r>
      <w:hyperlink r:id="rId7">
        <w:r>
          <w:rPr>
            <w:color w:val="0000FF"/>
            <w:u w:val="single"/>
          </w:rPr>
          <w:t>Eurobike Show 2024</w:t>
        </w:r>
      </w:hyperlink>
      <w:r>
        <w:t xml:space="preserve"> angekündigt. Der mit einer einzigartigen, patentierten Architektur entworfene Delta Mittelmotor mit einem Gewicht von nur 2,9 kg und einem maximalen Drehmoment von 90 </w:t>
      </w:r>
      <w:proofErr w:type="spellStart"/>
      <w:r>
        <w:t>Nm</w:t>
      </w:r>
      <w:proofErr w:type="spellEnd"/>
      <w:r>
        <w:t xml:space="preserve"> ist ein Beweis für Deltas Engagement, effiziente, energiesparende und leistungsstarke Lösungen für den Mobilitätssektor zu entwickeln.</w:t>
      </w:r>
    </w:p>
    <w:p w14:paraId="75754B16" w14:textId="77777777" w:rsidR="00C72168" w:rsidRDefault="00C72168">
      <w:pPr>
        <w:jc w:val="both"/>
      </w:pPr>
    </w:p>
    <w:p w14:paraId="2FCE8414" w14:textId="77777777" w:rsidR="00C72168" w:rsidRDefault="00000000">
      <w:pPr>
        <w:jc w:val="both"/>
      </w:pPr>
      <w:r>
        <w:t xml:space="preserve">Michael Mayer-Rosa, Senior </w:t>
      </w:r>
      <w:proofErr w:type="spellStart"/>
      <w:r>
        <w:t>Director</w:t>
      </w:r>
      <w:proofErr w:type="spellEnd"/>
      <w:r>
        <w:t xml:space="preserve"> der Industrial Automation Business Group, Delta Electronics EMEA Region, hob die Bedeutung dieses Durchbruchs hervor: „Unser Delta Mittelmotor stellt einen großen Fortschritt in der E-Bike-Technologie dar und spiegelt unser Engagement für Innovation und ausgezeichnete Leistungen im Mobilitätssektor wider.“</w:t>
      </w:r>
    </w:p>
    <w:p w14:paraId="20ADBB20" w14:textId="77777777" w:rsidR="00C72168" w:rsidRDefault="00C72168">
      <w:pPr>
        <w:jc w:val="both"/>
      </w:pPr>
    </w:p>
    <w:p w14:paraId="43F07585" w14:textId="77777777" w:rsidR="00C72168" w:rsidRDefault="00000000">
      <w:pPr>
        <w:jc w:val="both"/>
        <w:rPr>
          <w:b/>
        </w:rPr>
      </w:pPr>
      <w:r>
        <w:rPr>
          <w:b/>
        </w:rPr>
        <w:t>Kompaktes, leistungsfähiges Design</w:t>
      </w:r>
    </w:p>
    <w:p w14:paraId="7AD94050" w14:textId="77777777" w:rsidR="00C72168" w:rsidRDefault="00C72168">
      <w:pPr>
        <w:jc w:val="both"/>
      </w:pPr>
    </w:p>
    <w:p w14:paraId="7B852476" w14:textId="77777777" w:rsidR="00C72168" w:rsidRDefault="00000000">
      <w:pPr>
        <w:jc w:val="both"/>
      </w:pPr>
      <w:r>
        <w:t xml:space="preserve">Der Delta Mittelmotor ist bemerkenswert kompakt, wiegt nur 2,9 kg und liefert ein starkes maximales Drehmoment von 90 Nm. Seine Abmessungen (111 x 92 mm) machen ihn zu einem der kompaktesten Motoren seiner Klasse, was den Herstellern von E-Bikes mehr Flexibilität bei der Entwicklung schlanker, leichter E-Bikes gibt. Sein hohes Drehmoment ist ideal für E-Lastenräder und E-Mountainbikes, bei denen es auf robuste Leistung ankommt. </w:t>
      </w:r>
    </w:p>
    <w:p w14:paraId="3DD4B62F" w14:textId="77777777" w:rsidR="00C72168" w:rsidRDefault="00000000">
      <w:pPr>
        <w:jc w:val="both"/>
      </w:pPr>
      <w:r>
        <w:t>Das patentierte konzentrische Zylinderdesign des Motors und die einzigartige Getriebetechnologie gewährleisten eine effiziente Kraftübertragung und eine einfache Installation, während die minimierte Ummantelung die Gesamtästhetik des E-Bikes unterstreicht, indem sie den Motor kaum sichtbar macht.</w:t>
      </w:r>
    </w:p>
    <w:p w14:paraId="245DF188" w14:textId="77777777" w:rsidR="00C72168" w:rsidRDefault="00C72168">
      <w:pPr>
        <w:jc w:val="both"/>
        <w:rPr>
          <w:b/>
        </w:rPr>
      </w:pPr>
    </w:p>
    <w:p w14:paraId="4307BAAF" w14:textId="77777777" w:rsidR="00C72168" w:rsidRDefault="00000000">
      <w:pPr>
        <w:jc w:val="both"/>
        <w:rPr>
          <w:b/>
        </w:rPr>
      </w:pPr>
      <w:r>
        <w:rPr>
          <w:b/>
        </w:rPr>
        <w:t>Ökosystem und Anpassung</w:t>
      </w:r>
    </w:p>
    <w:p w14:paraId="1A91A1F8" w14:textId="77777777" w:rsidR="00C72168" w:rsidRDefault="00C72168">
      <w:pPr>
        <w:jc w:val="both"/>
      </w:pPr>
    </w:p>
    <w:p w14:paraId="5FFF6B21" w14:textId="77777777" w:rsidR="00C72168" w:rsidRDefault="00000000">
      <w:pPr>
        <w:jc w:val="both"/>
      </w:pPr>
      <w:r>
        <w:t xml:space="preserve">Delta bietet nicht nur den Motor an, sondern stellt ein ganzes Ökosystem für E-Bike-Hersteller bereit. Der Motor kann allein gekauft werden, sodass Konstrukteure ihre eigenen E-Antriebssysteme entwickeln können, oder als Teil eines umfassenden Pakets mit bekannten Partnern. Delta bietet Einbaubatterien und abnehmbare </w:t>
      </w:r>
      <w:r>
        <w:lastRenderedPageBreak/>
        <w:t>Batterien in vier Ausführungen an und gewährleistet so eine Reihe von Leistungsoptionen für unterschiedliche Bedürfnisse.</w:t>
      </w:r>
    </w:p>
    <w:p w14:paraId="64BDA821" w14:textId="77777777" w:rsidR="00C72168" w:rsidRDefault="00C72168">
      <w:pPr>
        <w:jc w:val="both"/>
      </w:pPr>
    </w:p>
    <w:p w14:paraId="5AE7DD58" w14:textId="77777777" w:rsidR="00C72168" w:rsidRDefault="00000000">
      <w:pPr>
        <w:jc w:val="both"/>
      </w:pPr>
      <w:r>
        <w:t>Außerdem bietet Delta drei verschiedene Kombinationen aus Controller und Display an. Diese reichen von einem einfachen Schalter und einem minimalistischen Display, das in das Oberrohr integriert ist, bis hin zu fortschrittlicheren Optionen, die Turn-</w:t>
      </w:r>
      <w:proofErr w:type="spellStart"/>
      <w:r>
        <w:t>by</w:t>
      </w:r>
      <w:proofErr w:type="spellEnd"/>
      <w:r>
        <w:t>-Turn-Navigation unterstützen.</w:t>
      </w:r>
    </w:p>
    <w:p w14:paraId="0C234D44" w14:textId="77777777" w:rsidR="00C72168" w:rsidRDefault="00C72168">
      <w:pPr>
        <w:jc w:val="both"/>
      </w:pPr>
    </w:p>
    <w:p w14:paraId="4157EA71" w14:textId="77777777" w:rsidR="00C72168" w:rsidRDefault="00000000">
      <w:pPr>
        <w:jc w:val="both"/>
        <w:rPr>
          <w:b/>
        </w:rPr>
      </w:pPr>
      <w:r>
        <w:rPr>
          <w:b/>
        </w:rPr>
        <w:t>Technologie und Erfahrung</w:t>
      </w:r>
    </w:p>
    <w:p w14:paraId="64C9C87D" w14:textId="77777777" w:rsidR="00C72168" w:rsidRDefault="00C72168">
      <w:pPr>
        <w:jc w:val="both"/>
      </w:pPr>
    </w:p>
    <w:p w14:paraId="2C1D62A4" w14:textId="77777777" w:rsidR="00C72168" w:rsidRDefault="00000000">
      <w:pPr>
        <w:jc w:val="both"/>
      </w:pPr>
      <w:r>
        <w:t xml:space="preserve">Delta ist kein Neuling in der Mobilitätsbranche. Mit mehr als einem Jahrzehnt Erfahrung in der Entwicklung von Elektromotoren für Motorräder hat das Unternehmen seine umfangreichen Forschungs- und Entwicklungskapazitäten genutzt, um den Delta Mittelmotor zu entwickeln. Delta wird sich zunächst auf Premium-OEMs in der DACH-Region (Deutschland, Österreich, Schweiz) und </w:t>
      </w:r>
      <w:proofErr w:type="spellStart"/>
      <w:r>
        <w:t>BeNeLux</w:t>
      </w:r>
      <w:proofErr w:type="spellEnd"/>
      <w:r>
        <w:t xml:space="preserve"> (Belgien, Niederlande, Luxemburg) konzentrieren. Die Verteilung von Testmustern wird für den Spätsommer erwartet, die Massenproduktion und Auslieferung soll Anfang 2025 beginnen.</w:t>
      </w:r>
    </w:p>
    <w:p w14:paraId="7E5DF162" w14:textId="77777777" w:rsidR="00C72168" w:rsidRDefault="00000000">
      <w:pPr>
        <w:jc w:val="both"/>
      </w:pPr>
      <w:r>
        <w:t xml:space="preserve">Deltas Einstieg in die Fahrradindustrie ist ein bedeutender Meilenstein, der eine weitreichende Vision und technologische Kompetenz widerspiegelt. Weitere Informationen zum Delta Mittelmotor und anderen Delta-Produkten gibt es auf Deltas </w:t>
      </w:r>
      <w:hyperlink r:id="rId8">
        <w:r>
          <w:rPr>
            <w:color w:val="0000FF"/>
            <w:u w:val="single"/>
          </w:rPr>
          <w:t>Website</w:t>
        </w:r>
      </w:hyperlink>
      <w:r>
        <w:t xml:space="preserve"> oder auf der </w:t>
      </w:r>
      <w:hyperlink r:id="rId9">
        <w:r>
          <w:rPr>
            <w:color w:val="0000FF"/>
            <w:u w:val="single"/>
          </w:rPr>
          <w:t>Eurobike</w:t>
        </w:r>
      </w:hyperlink>
      <w:r>
        <w:t xml:space="preserve"> in Frankfurt am Main.</w:t>
      </w:r>
    </w:p>
    <w:p w14:paraId="75024B90" w14:textId="77777777" w:rsidR="00C72168" w:rsidRDefault="00C72168">
      <w:pPr>
        <w:jc w:val="both"/>
      </w:pPr>
    </w:p>
    <w:p w14:paraId="7419C307" w14:textId="77777777" w:rsidR="00C72168" w:rsidRDefault="00000000">
      <w:pPr>
        <w:pBdr>
          <w:top w:val="nil"/>
          <w:left w:val="nil"/>
          <w:bottom w:val="nil"/>
          <w:right w:val="nil"/>
          <w:between w:val="nil"/>
        </w:pBdr>
        <w:spacing w:before="280" w:after="280" w:line="240" w:lineRule="auto"/>
        <w:jc w:val="both"/>
        <w:rPr>
          <w:color w:val="000000"/>
          <w:sz w:val="20"/>
          <w:szCs w:val="20"/>
        </w:rPr>
      </w:pPr>
      <w:r>
        <w:rPr>
          <w:b/>
          <w:color w:val="000000"/>
          <w:sz w:val="20"/>
          <w:szCs w:val="20"/>
        </w:rPr>
        <w:t>Über Delta</w:t>
      </w:r>
    </w:p>
    <w:p w14:paraId="1B5BDD27" w14:textId="48CD351B" w:rsidR="00C72168" w:rsidRDefault="00000000">
      <w:pPr>
        <w:pBdr>
          <w:top w:val="nil"/>
          <w:left w:val="nil"/>
          <w:bottom w:val="nil"/>
          <w:right w:val="nil"/>
          <w:between w:val="nil"/>
        </w:pBdr>
        <w:spacing w:before="280" w:after="280" w:line="240" w:lineRule="auto"/>
        <w:jc w:val="both"/>
        <w:rPr>
          <w:color w:val="000000"/>
          <w:sz w:val="20"/>
          <w:szCs w:val="20"/>
        </w:rPr>
      </w:pPr>
      <w:r>
        <w:rPr>
          <w:color w:val="000000"/>
          <w:sz w:val="20"/>
          <w:szCs w:val="20"/>
        </w:rPr>
        <w:t xml:space="preserve">Delta wurde 1971 gegründet und ist an der taiwanesischen Börse notiert (Code: 2308). Das Unternehmen ist ein weltweit führender Anbieter von Schaltnetzteilen und Wärmemanagementprodukten mit einem umfangreichen Portfolio an intelligenten, energiesparenden Systemen und Lösungen in den Bereichen Industrieautomatisierung, Gebäudeautomatisierung, Telekommunikation, Rechenzentrumsinfrastruktur, EV-Ladetechnik, erneuerbare Energien, Energiespeicherung und Displays, um nachhaltige Städte und eine intelligente Fertigung zu fördern. Als weltweit führendes Unternehmen, das sich von seinem Leitbild "Innovative, saubere und </w:t>
      </w:r>
      <w:r w:rsidR="008126A0" w:rsidRPr="008126A0">
        <w:rPr>
          <w:color w:val="000000"/>
          <w:sz w:val="20"/>
          <w:szCs w:val="20"/>
        </w:rPr>
        <w:t xml:space="preserve">effiziente Energielösungen für eine bessere </w:t>
      </w:r>
      <w:r w:rsidR="008126A0">
        <w:rPr>
          <w:color w:val="000000"/>
          <w:sz w:val="20"/>
          <w:szCs w:val="20"/>
        </w:rPr>
        <w:t>Zukunft</w:t>
      </w:r>
      <w:r>
        <w:rPr>
          <w:color w:val="000000"/>
          <w:sz w:val="20"/>
          <w:szCs w:val="20"/>
        </w:rPr>
        <w:t>" leiten lässt, nutzt Delta seine Kernkompetenz in hocheffizienter Leistungselektronik und sein ESG-bezogenes Geschäftsmodell, um wichtige Umweltprobleme wie den Klimawandel anzugehen. Delta betreut seine Kunden über seine Vertriebsbüros, Forschungs- und Entwicklungszentren und Produktionsstätten an fast 200 Standorten auf 5 Kontinenten.</w:t>
      </w:r>
    </w:p>
    <w:p w14:paraId="2E3FF384" w14:textId="77777777" w:rsidR="00C72168" w:rsidRDefault="00000000">
      <w:pPr>
        <w:pBdr>
          <w:top w:val="nil"/>
          <w:left w:val="nil"/>
          <w:bottom w:val="nil"/>
          <w:right w:val="nil"/>
          <w:between w:val="nil"/>
        </w:pBdr>
        <w:spacing w:before="280" w:after="120" w:line="240" w:lineRule="auto"/>
        <w:jc w:val="both"/>
        <w:rPr>
          <w:color w:val="000000"/>
          <w:sz w:val="20"/>
          <w:szCs w:val="20"/>
        </w:rPr>
      </w:pPr>
      <w:r>
        <w:rPr>
          <w:color w:val="000000"/>
          <w:sz w:val="20"/>
          <w:szCs w:val="20"/>
        </w:rPr>
        <w:t xml:space="preserve">Im Laufe seiner Geschichte hat Delta verschiedene globale Preise und Auszeichnungen für seine Geschäftserfolge, innovativen Technologien und sein Engagement für ESG erhalten. Seit 2011 ist Delta in 13 aufeinanderfolgenden Jahren im DJSI World Index der Dow Jones </w:t>
      </w:r>
      <w:proofErr w:type="spellStart"/>
      <w:r>
        <w:rPr>
          <w:color w:val="000000"/>
          <w:sz w:val="20"/>
          <w:szCs w:val="20"/>
        </w:rPr>
        <w:t>Sustainability</w:t>
      </w:r>
      <w:proofErr w:type="spellEnd"/>
      <w:r>
        <w:rPr>
          <w:color w:val="000000"/>
          <w:sz w:val="20"/>
          <w:szCs w:val="20"/>
        </w:rPr>
        <w:t>™ Indizes gelistet.</w:t>
      </w:r>
      <w:r>
        <w:rPr>
          <w:rFonts w:ascii="Times New Roman" w:eastAsia="Times New Roman" w:hAnsi="Times New Roman" w:cs="Times New Roman"/>
          <w:color w:val="000000"/>
          <w:sz w:val="24"/>
          <w:szCs w:val="24"/>
        </w:rPr>
        <w:t xml:space="preserve"> </w:t>
      </w:r>
      <w:r>
        <w:rPr>
          <w:color w:val="000000"/>
          <w:sz w:val="20"/>
          <w:szCs w:val="20"/>
        </w:rPr>
        <w:t xml:space="preserve">In den Jahren 2020, 2022 und 2023 wurde Delta außerdem vom CDP mit einem doppelten A-Listen-Rating für seinen wesentlichen Beitrag zu den Themen Klimawandel und Sicherstellung von Wasserversorgung ausgezeichnet und für seine </w:t>
      </w:r>
      <w:r>
        <w:rPr>
          <w:color w:val="000000"/>
          <w:sz w:val="20"/>
          <w:szCs w:val="20"/>
        </w:rPr>
        <w:lastRenderedPageBreak/>
        <w:t>kontinuierliche Entwicklung einer nachhaltigen Wertschöpfungskette in sechs aufeinanderfolgenden Jahren zum Supplier Engagement Leader ernannt.</w:t>
      </w:r>
    </w:p>
    <w:p w14:paraId="666DDA54" w14:textId="77777777" w:rsidR="00C72168" w:rsidRDefault="00C72168">
      <w:pPr>
        <w:shd w:val="clear" w:color="auto" w:fill="FFFFFF"/>
        <w:spacing w:after="200"/>
        <w:jc w:val="both"/>
        <w:rPr>
          <w:sz w:val="20"/>
          <w:szCs w:val="20"/>
        </w:rPr>
      </w:pPr>
    </w:p>
    <w:p w14:paraId="1F5DBE61" w14:textId="77777777" w:rsidR="00C72168" w:rsidRDefault="00000000">
      <w:pPr>
        <w:pBdr>
          <w:top w:val="nil"/>
          <w:left w:val="nil"/>
          <w:bottom w:val="nil"/>
          <w:right w:val="nil"/>
          <w:between w:val="nil"/>
        </w:pBdr>
        <w:spacing w:before="280" w:after="280" w:line="240" w:lineRule="auto"/>
        <w:rPr>
          <w:color w:val="000000"/>
          <w:sz w:val="20"/>
          <w:szCs w:val="20"/>
        </w:rPr>
      </w:pPr>
      <w:r>
        <w:rPr>
          <w:color w:val="000000"/>
          <w:sz w:val="20"/>
          <w:szCs w:val="20"/>
        </w:rPr>
        <w:t xml:space="preserve">Für weitere Informationen besuchen Sie bitte: </w:t>
      </w:r>
      <w:hyperlink r:id="rId10">
        <w:r>
          <w:rPr>
            <w:color w:val="0000FF"/>
            <w:sz w:val="20"/>
            <w:szCs w:val="20"/>
            <w:u w:val="single"/>
          </w:rPr>
          <w:t>www.deltaww.com</w:t>
        </w:r>
      </w:hyperlink>
      <w:r>
        <w:rPr>
          <w:color w:val="000000"/>
          <w:sz w:val="20"/>
          <w:szCs w:val="20"/>
        </w:rPr>
        <w:t xml:space="preserve"> </w:t>
      </w:r>
    </w:p>
    <w:p w14:paraId="6A5D5E5C" w14:textId="77777777" w:rsidR="00C72168" w:rsidRDefault="00C72168">
      <w:pPr>
        <w:pBdr>
          <w:top w:val="nil"/>
          <w:left w:val="nil"/>
          <w:bottom w:val="nil"/>
          <w:right w:val="nil"/>
          <w:between w:val="nil"/>
        </w:pBdr>
        <w:spacing w:before="280" w:after="280" w:line="240" w:lineRule="auto"/>
        <w:rPr>
          <w:color w:val="000000"/>
          <w:sz w:val="20"/>
          <w:szCs w:val="20"/>
        </w:rPr>
      </w:pPr>
    </w:p>
    <w:p w14:paraId="1AF9E86F" w14:textId="77777777" w:rsidR="00C72168" w:rsidRPr="008126A0" w:rsidRDefault="00000000">
      <w:pPr>
        <w:pBdr>
          <w:top w:val="nil"/>
          <w:left w:val="nil"/>
          <w:bottom w:val="nil"/>
          <w:right w:val="nil"/>
          <w:between w:val="nil"/>
        </w:pBdr>
        <w:spacing w:before="280" w:after="120" w:line="240" w:lineRule="auto"/>
        <w:rPr>
          <w:color w:val="000000"/>
          <w:sz w:val="20"/>
          <w:szCs w:val="20"/>
          <w:lang w:val="en-US"/>
        </w:rPr>
      </w:pPr>
      <w:r w:rsidRPr="008126A0">
        <w:rPr>
          <w:color w:val="000000"/>
          <w:sz w:val="20"/>
          <w:szCs w:val="20"/>
          <w:lang w:val="en-US"/>
        </w:rPr>
        <w:t>Sales-</w:t>
      </w:r>
      <w:proofErr w:type="spellStart"/>
      <w:r w:rsidRPr="008126A0">
        <w:rPr>
          <w:color w:val="000000"/>
          <w:sz w:val="20"/>
          <w:szCs w:val="20"/>
          <w:lang w:val="en-US"/>
        </w:rPr>
        <w:t>Kontakt</w:t>
      </w:r>
      <w:proofErr w:type="spellEnd"/>
      <w:r w:rsidRPr="008126A0">
        <w:rPr>
          <w:color w:val="000000"/>
          <w:sz w:val="20"/>
          <w:szCs w:val="20"/>
          <w:lang w:val="en-US"/>
        </w:rPr>
        <w:t xml:space="preserve"> : </w:t>
      </w:r>
    </w:p>
    <w:p w14:paraId="0056AB37" w14:textId="77777777" w:rsidR="00C72168" w:rsidRPr="008126A0" w:rsidRDefault="00000000">
      <w:pPr>
        <w:pBdr>
          <w:top w:val="nil"/>
          <w:left w:val="nil"/>
          <w:bottom w:val="nil"/>
          <w:right w:val="nil"/>
          <w:between w:val="nil"/>
        </w:pBdr>
        <w:spacing w:before="280" w:after="120" w:line="240" w:lineRule="auto"/>
        <w:rPr>
          <w:color w:val="000000"/>
          <w:sz w:val="20"/>
          <w:szCs w:val="20"/>
          <w:lang w:val="en-US"/>
        </w:rPr>
      </w:pPr>
      <w:r w:rsidRPr="008126A0">
        <w:rPr>
          <w:color w:val="000000"/>
          <w:sz w:val="20"/>
          <w:szCs w:val="20"/>
          <w:lang w:val="en-US"/>
        </w:rPr>
        <w:t xml:space="preserve">REX.HUANG </w:t>
      </w:r>
      <w:r>
        <w:rPr>
          <w:rFonts w:ascii="MS Gothic" w:eastAsia="MS Gothic" w:hAnsi="MS Gothic" w:cs="MS Gothic"/>
          <w:color w:val="000000"/>
          <w:sz w:val="20"/>
          <w:szCs w:val="20"/>
        </w:rPr>
        <w:t>黃中昱</w:t>
      </w:r>
      <w:r w:rsidRPr="008126A0">
        <w:rPr>
          <w:color w:val="000000"/>
          <w:sz w:val="20"/>
          <w:szCs w:val="20"/>
          <w:lang w:val="en-US"/>
        </w:rPr>
        <w:t xml:space="preserve"> | Key Account Sales | rex.huang@deltaww.com</w:t>
      </w:r>
    </w:p>
    <w:p w14:paraId="17F31BFF" w14:textId="77777777" w:rsidR="00C72168" w:rsidRDefault="00000000">
      <w:pPr>
        <w:pBdr>
          <w:top w:val="nil"/>
          <w:left w:val="nil"/>
          <w:bottom w:val="nil"/>
          <w:right w:val="nil"/>
          <w:between w:val="nil"/>
        </w:pBdr>
        <w:spacing w:before="280" w:after="120" w:line="240" w:lineRule="auto"/>
        <w:rPr>
          <w:color w:val="000000"/>
          <w:sz w:val="20"/>
          <w:szCs w:val="20"/>
        </w:rPr>
      </w:pPr>
      <w:r>
        <w:rPr>
          <w:color w:val="000000"/>
          <w:sz w:val="20"/>
          <w:szCs w:val="20"/>
        </w:rPr>
        <w:t xml:space="preserve">Presse Kontakt : </w:t>
      </w:r>
    </w:p>
    <w:p w14:paraId="6485D642" w14:textId="77777777" w:rsidR="00C72168" w:rsidRDefault="00000000">
      <w:pPr>
        <w:pBdr>
          <w:top w:val="nil"/>
          <w:left w:val="nil"/>
          <w:bottom w:val="nil"/>
          <w:right w:val="nil"/>
          <w:between w:val="nil"/>
        </w:pBdr>
        <w:spacing w:after="120" w:line="240" w:lineRule="auto"/>
        <w:rPr>
          <w:color w:val="000000"/>
          <w:sz w:val="20"/>
          <w:szCs w:val="20"/>
        </w:rPr>
      </w:pPr>
      <w:r>
        <w:rPr>
          <w:color w:val="000000"/>
          <w:sz w:val="20"/>
          <w:szCs w:val="20"/>
        </w:rPr>
        <w:t>Dani O. Communication</w:t>
      </w:r>
    </w:p>
    <w:p w14:paraId="7D799B43" w14:textId="77777777" w:rsidR="00C72168" w:rsidRDefault="00000000">
      <w:pPr>
        <w:pBdr>
          <w:top w:val="nil"/>
          <w:left w:val="nil"/>
          <w:bottom w:val="nil"/>
          <w:right w:val="nil"/>
          <w:between w:val="nil"/>
        </w:pBdr>
        <w:spacing w:after="120" w:line="240" w:lineRule="auto"/>
        <w:rPr>
          <w:color w:val="000000"/>
          <w:sz w:val="20"/>
          <w:szCs w:val="20"/>
        </w:rPr>
      </w:pPr>
      <w:r>
        <w:rPr>
          <w:color w:val="000000"/>
          <w:sz w:val="20"/>
          <w:szCs w:val="20"/>
        </w:rPr>
        <w:t xml:space="preserve">Daniela </w:t>
      </w:r>
      <w:proofErr w:type="spellStart"/>
      <w:r>
        <w:rPr>
          <w:color w:val="000000"/>
          <w:sz w:val="20"/>
          <w:szCs w:val="20"/>
        </w:rPr>
        <w:t>Odesser</w:t>
      </w:r>
      <w:proofErr w:type="spellEnd"/>
      <w:r>
        <w:rPr>
          <w:color w:val="000000"/>
          <w:sz w:val="20"/>
          <w:szCs w:val="20"/>
        </w:rPr>
        <w:t xml:space="preserve"> | +49 (0)170 3131812</w:t>
      </w:r>
    </w:p>
    <w:p w14:paraId="3D466455" w14:textId="77777777" w:rsidR="00C72168" w:rsidRDefault="00000000">
      <w:pPr>
        <w:pBdr>
          <w:top w:val="nil"/>
          <w:left w:val="nil"/>
          <w:bottom w:val="nil"/>
          <w:right w:val="nil"/>
          <w:between w:val="nil"/>
        </w:pBdr>
        <w:spacing w:after="120" w:line="240" w:lineRule="auto"/>
        <w:rPr>
          <w:color w:val="000000"/>
          <w:sz w:val="20"/>
          <w:szCs w:val="20"/>
        </w:rPr>
      </w:pPr>
      <w:r>
        <w:rPr>
          <w:color w:val="000000"/>
          <w:sz w:val="20"/>
          <w:szCs w:val="20"/>
        </w:rPr>
        <w:t>Jahnstr. 5 | 80469 München | Germany | </w:t>
      </w:r>
      <w:hyperlink r:id="rId11">
        <w:r>
          <w:rPr>
            <w:color w:val="0000FF"/>
            <w:sz w:val="20"/>
            <w:szCs w:val="20"/>
            <w:u w:val="single"/>
          </w:rPr>
          <w:t>www.dani-o.com</w:t>
        </w:r>
      </w:hyperlink>
    </w:p>
    <w:p w14:paraId="5083E89F" w14:textId="77777777" w:rsidR="00C72168" w:rsidRDefault="00C72168">
      <w:pPr>
        <w:pBdr>
          <w:top w:val="nil"/>
          <w:left w:val="nil"/>
          <w:bottom w:val="nil"/>
          <w:right w:val="nil"/>
          <w:between w:val="nil"/>
        </w:pBdr>
        <w:spacing w:before="280" w:after="120" w:line="240" w:lineRule="auto"/>
        <w:rPr>
          <w:color w:val="000000"/>
          <w:sz w:val="20"/>
          <w:szCs w:val="20"/>
        </w:rPr>
      </w:pPr>
    </w:p>
    <w:p w14:paraId="6F7FEA22" w14:textId="77777777" w:rsidR="00C72168" w:rsidRDefault="00C72168"/>
    <w:sectPr w:rsidR="00C72168">
      <w:headerReference w:type="default" r:id="rId12"/>
      <w:footerReference w:type="even" r:id="rId13"/>
      <w:footerReference w:type="default" r:id="rId14"/>
      <w:headerReference w:type="first" r:id="rId15"/>
      <w:footerReference w:type="first" r:id="rId16"/>
      <w:pgSz w:w="11906" w:h="16838"/>
      <w:pgMar w:top="2410" w:right="1797" w:bottom="2268" w:left="1797" w:header="1474" w:footer="9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BDB8" w14:textId="77777777" w:rsidR="00BC5353" w:rsidRDefault="00BC5353">
      <w:pPr>
        <w:spacing w:line="240" w:lineRule="auto"/>
      </w:pPr>
      <w:r>
        <w:separator/>
      </w:r>
    </w:p>
  </w:endnote>
  <w:endnote w:type="continuationSeparator" w:id="0">
    <w:p w14:paraId="2F536AE6" w14:textId="77777777" w:rsidR="00BC5353" w:rsidRDefault="00BC5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01BC" w14:textId="77777777" w:rsidR="00C72168" w:rsidRDefault="00000000">
    <w:pPr>
      <w:pBdr>
        <w:top w:val="nil"/>
        <w:left w:val="nil"/>
        <w:bottom w:val="nil"/>
        <w:right w:val="nil"/>
        <w:between w:val="nil"/>
      </w:pBdr>
      <w:tabs>
        <w:tab w:val="center" w:pos="4153"/>
        <w:tab w:val="right" w:pos="8306"/>
      </w:tabs>
      <w:spacing w:line="240" w:lineRule="auto"/>
      <w:rPr>
        <w:color w:val="000000"/>
        <w:sz w:val="16"/>
        <w:szCs w:val="16"/>
      </w:rPr>
    </w:pPr>
    <w:r w:rsidRPr="008126A0">
      <w:rPr>
        <w:color w:val="000000"/>
        <w:sz w:val="16"/>
        <w:szCs w:val="16"/>
        <w:lang w:val="en-US"/>
      </w:rPr>
      <w:t xml:space="preserve">ABN AMRO Bank N.V., Venlo – account no. 56.14.30.497 – </w:t>
    </w:r>
    <w:proofErr w:type="spellStart"/>
    <w:r w:rsidRPr="008126A0">
      <w:rPr>
        <w:color w:val="000000"/>
        <w:sz w:val="16"/>
        <w:szCs w:val="16"/>
        <w:lang w:val="en-US"/>
      </w:rPr>
      <w:t>KvK</w:t>
    </w:r>
    <w:proofErr w:type="spellEnd"/>
    <w:r w:rsidRPr="008126A0">
      <w:rPr>
        <w:color w:val="000000"/>
        <w:sz w:val="16"/>
        <w:szCs w:val="16"/>
        <w:lang w:val="en-US"/>
      </w:rPr>
      <w:t xml:space="preserve"> no. 12040831 – VAT no. </w:t>
    </w:r>
    <w:r>
      <w:rPr>
        <w:color w:val="000000"/>
        <w:sz w:val="16"/>
        <w:szCs w:val="16"/>
      </w:rPr>
      <w:t>NL 8085.73.986.B.01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9C8A" w14:textId="2C65580B" w:rsidR="00C72168" w:rsidRDefault="00000000">
    <w:pPr>
      <w:pBdr>
        <w:top w:val="nil"/>
        <w:left w:val="nil"/>
        <w:bottom w:val="nil"/>
        <w:right w:val="nil"/>
        <w:between w:val="nil"/>
      </w:pBdr>
      <w:tabs>
        <w:tab w:val="center" w:pos="4153"/>
        <w:tab w:val="right" w:pos="8306"/>
      </w:tabs>
      <w:spacing w:after="200" w:line="240" w:lineRule="auto"/>
      <w:jc w:val="center"/>
      <w:rPr>
        <w:color w:val="000000"/>
        <w:sz w:val="18"/>
        <w:szCs w:val="18"/>
      </w:rPr>
    </w:pPr>
    <w:r>
      <w:rPr>
        <w:color w:val="000000"/>
        <w:sz w:val="18"/>
        <w:szCs w:val="18"/>
      </w:rPr>
      <w:t xml:space="preserve"> </w:t>
    </w:r>
    <w:r>
      <w:rPr>
        <w:color w:val="000000"/>
      </w:rPr>
      <w:fldChar w:fldCharType="begin"/>
    </w:r>
    <w:r>
      <w:rPr>
        <w:color w:val="000000"/>
      </w:rPr>
      <w:instrText>PAGE</w:instrText>
    </w:r>
    <w:r>
      <w:rPr>
        <w:color w:val="000000"/>
      </w:rPr>
      <w:fldChar w:fldCharType="separate"/>
    </w:r>
    <w:r w:rsidR="008126A0">
      <w:rPr>
        <w:noProof/>
        <w:color w:val="000000"/>
      </w:rPr>
      <w:t>2</w:t>
    </w:r>
    <w:r>
      <w:rPr>
        <w:color w:val="000000"/>
      </w:rPr>
      <w:fldChar w:fldCharType="end"/>
    </w:r>
    <w:r>
      <w:rPr>
        <w:color w:val="000000"/>
        <w:sz w:val="18"/>
        <w:szCs w:val="18"/>
      </w:rPr>
      <w:t xml:space="preserve"> / </w:t>
    </w:r>
    <w:r>
      <w:rPr>
        <w:color w:val="000000"/>
      </w:rPr>
      <w:fldChar w:fldCharType="begin"/>
    </w:r>
    <w:r>
      <w:rPr>
        <w:color w:val="000000"/>
      </w:rPr>
      <w:instrText>NUMPAGES</w:instrText>
    </w:r>
    <w:r>
      <w:rPr>
        <w:color w:val="000000"/>
      </w:rPr>
      <w:fldChar w:fldCharType="separate"/>
    </w:r>
    <w:r w:rsidR="008126A0">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CD17" w14:textId="77777777" w:rsidR="00C72168" w:rsidRDefault="00C72168">
    <w:pPr>
      <w:pBdr>
        <w:top w:val="nil"/>
        <w:left w:val="nil"/>
        <w:bottom w:val="nil"/>
        <w:right w:val="nil"/>
        <w:between w:val="nil"/>
      </w:pBdr>
      <w:tabs>
        <w:tab w:val="center" w:pos="4153"/>
        <w:tab w:val="right" w:pos="8306"/>
      </w:tabs>
      <w:spacing w:line="360" w:lineRule="auto"/>
      <w:rPr>
        <w:color w:val="808080"/>
        <w:sz w:val="16"/>
        <w:szCs w:val="16"/>
      </w:rPr>
    </w:pPr>
  </w:p>
  <w:p w14:paraId="2DB98DE6" w14:textId="77777777" w:rsidR="00C72168" w:rsidRDefault="00C72168">
    <w:pPr>
      <w:pBdr>
        <w:top w:val="nil"/>
        <w:left w:val="nil"/>
        <w:bottom w:val="nil"/>
        <w:right w:val="nil"/>
        <w:between w:val="nil"/>
      </w:pBdr>
      <w:tabs>
        <w:tab w:val="center" w:pos="4153"/>
        <w:tab w:val="right" w:pos="8306"/>
      </w:tabs>
      <w:spacing w:after="200" w:line="240" w:lineRule="auto"/>
      <w:rPr>
        <w:rFonts w:ascii="Cambria" w:eastAsia="Cambria" w:hAnsi="Cambria" w:cs="Cambr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D05D" w14:textId="77777777" w:rsidR="00BC5353" w:rsidRDefault="00BC5353">
      <w:pPr>
        <w:spacing w:line="240" w:lineRule="auto"/>
      </w:pPr>
      <w:r>
        <w:separator/>
      </w:r>
    </w:p>
  </w:footnote>
  <w:footnote w:type="continuationSeparator" w:id="0">
    <w:p w14:paraId="71FDF549" w14:textId="77777777" w:rsidR="00BC5353" w:rsidRDefault="00BC5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E8DC" w14:textId="77777777" w:rsidR="00C72168" w:rsidRDefault="00000000">
    <w:pPr>
      <w:pBdr>
        <w:top w:val="nil"/>
        <w:left w:val="nil"/>
        <w:bottom w:val="nil"/>
        <w:right w:val="nil"/>
        <w:between w:val="nil"/>
      </w:pBdr>
      <w:tabs>
        <w:tab w:val="center" w:pos="4153"/>
        <w:tab w:val="right" w:pos="8306"/>
        <w:tab w:val="left" w:pos="3195"/>
        <w:tab w:val="left" w:pos="7047"/>
      </w:tabs>
      <w:spacing w:line="240" w:lineRule="auto"/>
      <w:ind w:left="-993" w:firstLine="993"/>
      <w:rPr>
        <w:color w:val="000000"/>
        <w:sz w:val="16"/>
        <w:szCs w:val="16"/>
      </w:rPr>
    </w:pPr>
    <w:r>
      <w:rPr>
        <w:rFonts w:ascii="Cambria" w:eastAsia="Cambria" w:hAnsi="Cambria" w:cs="Cambria"/>
        <w:noProof/>
        <w:color w:val="000000"/>
        <w:sz w:val="16"/>
        <w:szCs w:val="16"/>
      </w:rPr>
      <mc:AlternateContent>
        <mc:Choice Requires="wps">
          <w:drawing>
            <wp:anchor distT="0" distB="0" distL="114300" distR="114300" simplePos="0" relativeHeight="251658240" behindDoc="0" locked="0" layoutInCell="1" hidden="0" allowOverlap="1" wp14:anchorId="3E86683C" wp14:editId="455988A2">
              <wp:simplePos x="0" y="0"/>
              <wp:positionH relativeFrom="page">
                <wp:posOffset>1751013</wp:posOffset>
              </wp:positionH>
              <wp:positionV relativeFrom="page">
                <wp:posOffset>224945</wp:posOffset>
              </wp:positionV>
              <wp:extent cx="1245870" cy="646430"/>
              <wp:effectExtent l="0" t="0" r="0" b="0"/>
              <wp:wrapNone/>
              <wp:docPr id="2018007578" name="Rechteck 2018007578"/>
              <wp:cNvGraphicFramePr/>
              <a:graphic xmlns:a="http://schemas.openxmlformats.org/drawingml/2006/main">
                <a:graphicData uri="http://schemas.microsoft.com/office/word/2010/wordprocessingShape">
                  <wps:wsp>
                    <wps:cNvSpPr/>
                    <wps:spPr>
                      <a:xfrm>
                        <a:off x="4727828" y="3461548"/>
                        <a:ext cx="1236345" cy="636905"/>
                      </a:xfrm>
                      <a:prstGeom prst="rect">
                        <a:avLst/>
                      </a:prstGeom>
                      <a:noFill/>
                      <a:ln>
                        <a:noFill/>
                      </a:ln>
                    </wps:spPr>
                    <wps:txbx>
                      <w:txbxContent>
                        <w:p w14:paraId="0CD3ED7B" w14:textId="77777777" w:rsidR="00C72168" w:rsidRDefault="00C72168">
                          <w:pPr>
                            <w:spacing w:line="275" w:lineRule="auto"/>
                            <w:textDirection w:val="btLr"/>
                          </w:pPr>
                        </w:p>
                      </w:txbxContent>
                    </wps:txbx>
                    <wps:bodyPr spcFirstLastPara="1" wrap="square" lIns="91425" tIns="45700" rIns="91425" bIns="45700" anchor="b" anchorCtr="0">
                      <a:noAutofit/>
                    </wps:bodyPr>
                  </wps:wsp>
                </a:graphicData>
              </a:graphic>
            </wp:anchor>
          </w:drawing>
        </mc:Choice>
        <mc:Fallback>
          <w:pict>
            <v:rect w14:anchorId="3E86683C" id="Rechteck 2018007578" o:spid="_x0000_s1026" style="position:absolute;left:0;text-align:left;margin-left:137.9pt;margin-top:17.7pt;width:98.1pt;height:50.9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g0vQEAAFoDAAAOAAAAZHJzL2Uyb0RvYy54bWysU9uO0zAQfUfiHyy/01yapt2o6QqxKkJa&#13;&#10;QaWFD3Acu7GU2GbsNunfM3a62wJviBdn7BmdOefMZPs4DT05C3DK6Jpmi5QSoblplT7W9Mf3/YcN&#13;&#10;Jc4z3bLeaFHTi3D0cff+3Xa0lchNZ/pWAEEQ7arR1rTz3lZJ4ngnBuYWxgqNSWlgYB6vcExaYCOi&#13;&#10;D32Sp2mZjAZaC4YL5/D1aU7SXcSXUnD/TUonPOlritx8PCGeTTiT3ZZVR2C2U/xKg/0Di4EpjU3f&#13;&#10;oJ6YZ+QE6i+oQXEwzki/4GZIjJSKi6gB1WTpH2peOmZF1ILmOPtmk/t/sPzr+cUeAG0YraschkHF&#13;&#10;JGEIX+RHppoW63y9yXGSl5ouizJbFZvZODF5wrEgy5flslhRwrGiXJYP6SoUJDckC85/FmYgIagp&#13;&#10;4GCiX+z87Pxc+loSGmuzV30fh9Pr3x4QM7wkN7oh8lMzXTU0pr0cgDjL9wp7PTPnDwxwqBklIw66&#13;&#10;pu7niYGgpP+i0cmHrMiRuY+XYrVOcU3gPtPcZ5jmncH9aSiZw08+btPM8ePJG6minsBqpnIliwOM&#13;&#10;jlyXLWzI/T1W3X6J3S8AAAD//wMAUEsDBBQABgAIAAAAIQDKH62T5AAAAA8BAAAPAAAAZHJzL2Rv&#13;&#10;d25yZXYueG1sTI/NTsMwEITvSLyDtUjcqNP8NGkapyogxIlDCg/gxtskENuR7bahT89ygstKq52Z&#13;&#10;/abaznpkZ3R+sEbAchEBQ9NaNZhOwMf7y0MBzAdplBytQQHf6GFb395UslT2Yho870PHKMT4Ugro&#13;&#10;Q5hKzn3bo5Z+YSc0dDtap2Wg1XVcOXmhcD3yOIpWXMvB0IdeTvjUY/u1P2kB6ZztlkXSZOjWxcq/&#13;&#10;Ntfr49unEPd38/OGxm4DLOAc/hzw24H4oSawgz0Z5dkoIM4z4g8CkiwFRoI0j6nhgZRJHgOvK/6/&#13;&#10;R/0DAAD//wMAUEsBAi0AFAAGAAgAAAAhALaDOJL+AAAA4QEAABMAAAAAAAAAAAAAAAAAAAAAAFtD&#13;&#10;b250ZW50X1R5cGVzXS54bWxQSwECLQAUAAYACAAAACEAOP0h/9YAAACUAQAACwAAAAAAAAAAAAAA&#13;&#10;AAAvAQAAX3JlbHMvLnJlbHNQSwECLQAUAAYACAAAACEATtvoNL0BAABaAwAADgAAAAAAAAAAAAAA&#13;&#10;AAAuAgAAZHJzL2Uyb0RvYy54bWxQSwECLQAUAAYACAAAACEAyh+tk+QAAAAPAQAADwAAAAAAAAAA&#13;&#10;AAAAAAAXBAAAZHJzL2Rvd25yZXYueG1sUEsFBgAAAAAEAAQA8wAAACgFAAAAAA==&#13;&#10;" filled="f" stroked="f">
              <v:textbox inset="2.53958mm,1.2694mm,2.53958mm,1.2694mm">
                <w:txbxContent>
                  <w:p w14:paraId="0CD3ED7B" w14:textId="77777777" w:rsidR="00C72168" w:rsidRDefault="00C72168">
                    <w:pPr>
                      <w:spacing w:line="275" w:lineRule="auto"/>
                      <w:textDirection w:val="btLr"/>
                    </w:pPr>
                  </w:p>
                </w:txbxContent>
              </v:textbox>
              <w10:wrap anchorx="page" anchory="page"/>
            </v:rect>
          </w:pict>
        </mc:Fallback>
      </mc:AlternateContent>
    </w:r>
    <w:r>
      <w:rPr>
        <w:color w:val="000000"/>
        <w:sz w:val="16"/>
        <w:szCs w:val="16"/>
      </w:rPr>
      <w:t xml:space="preserve"> </w:t>
    </w:r>
    <w:r>
      <w:rPr>
        <w:color w:val="000000"/>
        <w:sz w:val="16"/>
        <w:szCs w:val="16"/>
      </w:rPr>
      <w:tab/>
    </w:r>
    <w:r>
      <w:rPr>
        <w:color w:val="000000"/>
        <w:sz w:val="16"/>
        <w:szCs w:val="16"/>
      </w:rPr>
      <w:tab/>
    </w:r>
    <w:r>
      <w:rPr>
        <w:noProof/>
      </w:rPr>
      <mc:AlternateContent>
        <mc:Choice Requires="wps">
          <w:drawing>
            <wp:anchor distT="0" distB="0" distL="114300" distR="114300" simplePos="0" relativeHeight="251659264" behindDoc="0" locked="0" layoutInCell="1" hidden="0" allowOverlap="1" wp14:anchorId="16DB8998" wp14:editId="7F3A3E6B">
              <wp:simplePos x="0" y="0"/>
              <wp:positionH relativeFrom="column">
                <wp:posOffset>-703579</wp:posOffset>
              </wp:positionH>
              <wp:positionV relativeFrom="paragraph">
                <wp:posOffset>-349884</wp:posOffset>
              </wp:positionV>
              <wp:extent cx="1854200" cy="636905"/>
              <wp:effectExtent l="0" t="0" r="0" b="0"/>
              <wp:wrapNone/>
              <wp:docPr id="2018007576" name="Textfeld 2018007576"/>
              <wp:cNvGraphicFramePr/>
              <a:graphic xmlns:a="http://schemas.openxmlformats.org/drawingml/2006/main">
                <a:graphicData uri="http://schemas.microsoft.com/office/word/2010/wordprocessingShape">
                  <wps:wsp>
                    <wps:cNvSpPr txBox="1"/>
                    <wps:spPr>
                      <a:xfrm>
                        <a:off x="0" y="0"/>
                        <a:ext cx="1854200" cy="636905"/>
                      </a:xfrm>
                      <a:prstGeom prst="rect">
                        <a:avLst/>
                      </a:prstGeom>
                      <a:noFill/>
                      <a:ln w="6350">
                        <a:noFill/>
                      </a:ln>
                    </wps:spPr>
                    <wps:txbx>
                      <w:txbxContent>
                        <w:p w14:paraId="715ED375" w14:textId="77777777" w:rsidR="00000000" w:rsidRDefault="00000000" w:rsidP="00AA79BA">
                          <w:r>
                            <w:rPr>
                              <w:noProof/>
                              <w:color w:val="000000"/>
                              <w:lang w:val="de-DE" w:eastAsia="de-DE"/>
                            </w:rPr>
                            <w:drawing>
                              <wp:inline distT="0" distB="0" distL="0" distR="0" wp14:anchorId="3B197FD0" wp14:editId="5C492268">
                                <wp:extent cx="1552575" cy="476250"/>
                                <wp:effectExtent l="0" t="0" r="0" b="0"/>
                                <wp:docPr id="130189382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B8998" id="_x0000_t202" coordsize="21600,21600" o:spt="202" path="m,l,21600r21600,l21600,xe">
              <v:stroke joinstyle="miter"/>
              <v:path gradientshapeok="t" o:connecttype="rect"/>
            </v:shapetype>
            <v:shape id="Textfeld 2018007576" o:spid="_x0000_s1027" type="#_x0000_t202" style="position:absolute;left:0;text-align:left;margin-left:-55.4pt;margin-top:-27.55pt;width:146pt;height:5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nRPFwIAADMEAAAOAAAAZHJzL2Uyb0RvYy54bWysU01vGyEQvVfqf0Dc4107tpusvI7cRK4q&#13;&#10;WUkkp8oZs+BFYhkK2Lvur+/A+ktpT1UvMDDDfLz3mD10jSZ74bwCU9LhIKdEGA6VMtuS/nhb3txR&#13;&#10;4gMzFdNgREkPwtOH+edPs9YWYgQ16Eo4gkmML1pb0joEW2SZ57VomB+AFQadElzDAh7dNqscazF7&#13;&#10;o7NRnk+zFlxlHXDhPd4+9U46T/mlFDy8SOlFILqk2FtIq0vrJq7ZfMaKrWO2VvzYBvuHLhqmDBY9&#13;&#10;p3pigZGdU3+kahR34EGGAYcmAykVF2kGnGaYf5hmXTMr0iwIjrdnmPz/S8uf92v76kjovkKHBEZA&#13;&#10;WusLj5dxnk66Ju7YKUE/Qng4wya6QHh8dDcZIxeUcPRNb6f3+SSmyS6vrfPhm4CGRKOkDmlJaLH9&#13;&#10;yoc+9BQSixlYKq0TNdqQNiad5OnB2YPJtcEal16jFbpNR1R1NccGqgOO56Bn3lu+VNjDivnwyhxS&#13;&#10;jW2jfMMLLlID1oKjRUkN7tff7mM8MoBeSlqUTkn9zx1zghL93SA398PxOGotHcaTLyM8uGvP5tpj&#13;&#10;ds0joDqH+FEsT2aMD/pkSgfNO6p8EauiixmOtUsaTuZj6AWNv4SLxSIFobosCyuztjymjqhGhN+6&#13;&#10;d+bskYaABD7DSWSs+MBGH9vzsdgFkCpRFXHuUT3Cj8pMZB9/UZT+9TlFXf76/DcAAAD//wMAUEsD&#13;&#10;BBQABgAIAAAAIQDUqoFR5gAAABABAAAPAAAAZHJzL2Rvd25yZXYueG1sTI9BT8MwDIXvSPyHyEjc&#13;&#10;tjQVRVXXdJqKJiQEh41duKWN11YkTmmyrfDryU5wsWzZfu995Xq2hp1x8oMjCWKZAENqnR6ok3B4&#13;&#10;3y5yYD4o0so4Qgnf6GFd3d6UqtDuQjs870PHogj5QknoQxgLzn3bo1V+6UakuDu6yaoQx6njelKX&#13;&#10;KG4NT5PkkVs1UHTo1Yh1j+3n/mQlvNTbN7VrUpv/mPr59bgZvw4fmZT3d/PTKpbNCljAOfx9wJUh&#13;&#10;5ocqBmvcibRnRsJCiCQChNhlmQB2PclFCqyR8JClwKuS/wepfgEAAP//AwBQSwECLQAUAAYACAAA&#13;&#10;ACEAtoM4kv4AAADhAQAAEwAAAAAAAAAAAAAAAAAAAAAAW0NvbnRlbnRfVHlwZXNdLnhtbFBLAQIt&#13;&#10;ABQABgAIAAAAIQA4/SH/1gAAAJQBAAALAAAAAAAAAAAAAAAAAC8BAABfcmVscy8ucmVsc1BLAQIt&#13;&#10;ABQABgAIAAAAIQCtynRPFwIAADMEAAAOAAAAAAAAAAAAAAAAAC4CAABkcnMvZTJvRG9jLnhtbFBL&#13;&#10;AQItABQABgAIAAAAIQDUqoFR5gAAABABAAAPAAAAAAAAAAAAAAAAAHEEAABkcnMvZG93bnJldi54&#13;&#10;bWxQSwUGAAAAAAQABADzAAAAhAUAAAAA&#13;&#10;" filled="f" stroked="f" strokeweight=".5pt">
              <v:textbox>
                <w:txbxContent>
                  <w:p w14:paraId="715ED375" w14:textId="77777777" w:rsidR="00000000" w:rsidRDefault="00000000" w:rsidP="00AA79BA">
                    <w:r>
                      <w:rPr>
                        <w:noProof/>
                        <w:color w:val="000000"/>
                        <w:lang w:val="de-DE" w:eastAsia="de-DE"/>
                      </w:rPr>
                      <w:drawing>
                        <wp:inline distT="0" distB="0" distL="0" distR="0" wp14:anchorId="3B197FD0" wp14:editId="5C492268">
                          <wp:extent cx="1552575" cy="476250"/>
                          <wp:effectExtent l="0" t="0" r="0" b="0"/>
                          <wp:docPr id="130189382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v:textbox>
            </v:shape>
          </w:pict>
        </mc:Fallback>
      </mc:AlternateContent>
    </w:r>
  </w:p>
  <w:p w14:paraId="615E138B" w14:textId="77777777" w:rsidR="00C72168" w:rsidRDefault="00C72168">
    <w:pPr>
      <w:pBdr>
        <w:top w:val="nil"/>
        <w:left w:val="nil"/>
        <w:bottom w:val="nil"/>
        <w:right w:val="nil"/>
        <w:between w:val="nil"/>
      </w:pBdr>
      <w:tabs>
        <w:tab w:val="center" w:pos="4153"/>
        <w:tab w:val="right" w:pos="8306"/>
      </w:tabs>
      <w:spacing w:after="200" w:line="240" w:lineRule="auto"/>
      <w:rPr>
        <w:rFonts w:ascii="Cambria" w:eastAsia="Cambria" w:hAnsi="Cambria" w:cs="Cambria"/>
        <w:color w:val="000000"/>
        <w:sz w:val="20"/>
        <w:szCs w:val="20"/>
      </w:rPr>
    </w:pPr>
  </w:p>
  <w:p w14:paraId="712095BF" w14:textId="77777777" w:rsidR="00C72168" w:rsidRDefault="00C72168">
    <w:pPr>
      <w:pBdr>
        <w:top w:val="nil"/>
        <w:left w:val="nil"/>
        <w:bottom w:val="nil"/>
        <w:right w:val="nil"/>
        <w:between w:val="nil"/>
      </w:pBdr>
      <w:tabs>
        <w:tab w:val="center" w:pos="4153"/>
        <w:tab w:val="right" w:pos="8306"/>
      </w:tabs>
      <w:spacing w:after="200" w:line="240" w:lineRule="auto"/>
      <w:rPr>
        <w:rFonts w:ascii="Cambria" w:eastAsia="Cambria" w:hAnsi="Cambria" w:cs="Cambri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BFF3" w14:textId="77777777" w:rsidR="00C72168" w:rsidRDefault="00000000">
    <w:pPr>
      <w:pBdr>
        <w:top w:val="nil"/>
        <w:left w:val="nil"/>
        <w:bottom w:val="nil"/>
        <w:right w:val="nil"/>
        <w:between w:val="nil"/>
      </w:pBdr>
      <w:tabs>
        <w:tab w:val="center" w:pos="4153"/>
        <w:tab w:val="right" w:pos="8306"/>
        <w:tab w:val="left" w:pos="3195"/>
        <w:tab w:val="left" w:pos="7047"/>
      </w:tabs>
      <w:spacing w:line="240" w:lineRule="auto"/>
      <w:ind w:left="-993" w:firstLine="993"/>
      <w:rPr>
        <w:color w:val="000000"/>
        <w:sz w:val="16"/>
        <w:szCs w:val="16"/>
      </w:rPr>
    </w:pPr>
    <w:r>
      <w:rPr>
        <w:rFonts w:ascii="Cambria" w:eastAsia="Cambria" w:hAnsi="Cambria" w:cs="Cambria"/>
        <w:noProof/>
        <w:color w:val="000000"/>
        <w:sz w:val="16"/>
        <w:szCs w:val="16"/>
      </w:rPr>
      <mc:AlternateContent>
        <mc:Choice Requires="wps">
          <w:drawing>
            <wp:anchor distT="0" distB="0" distL="114300" distR="114300" simplePos="0" relativeHeight="251660288" behindDoc="0" locked="0" layoutInCell="1" hidden="0" allowOverlap="1" wp14:anchorId="78798388" wp14:editId="68B7F190">
              <wp:simplePos x="0" y="0"/>
              <wp:positionH relativeFrom="page">
                <wp:posOffset>1748924</wp:posOffset>
              </wp:positionH>
              <wp:positionV relativeFrom="page">
                <wp:posOffset>386398</wp:posOffset>
              </wp:positionV>
              <wp:extent cx="1245870" cy="646430"/>
              <wp:effectExtent l="0" t="0" r="0" b="0"/>
              <wp:wrapNone/>
              <wp:docPr id="2018007577" name="Rechteck 2018007577"/>
              <wp:cNvGraphicFramePr/>
              <a:graphic xmlns:a="http://schemas.openxmlformats.org/drawingml/2006/main">
                <a:graphicData uri="http://schemas.microsoft.com/office/word/2010/wordprocessingShape">
                  <wps:wsp>
                    <wps:cNvSpPr/>
                    <wps:spPr>
                      <a:xfrm>
                        <a:off x="4727828" y="3461548"/>
                        <a:ext cx="1236345" cy="636905"/>
                      </a:xfrm>
                      <a:prstGeom prst="rect">
                        <a:avLst/>
                      </a:prstGeom>
                      <a:noFill/>
                      <a:ln>
                        <a:noFill/>
                      </a:ln>
                    </wps:spPr>
                    <wps:txbx>
                      <w:txbxContent>
                        <w:p w14:paraId="6F5F47DC" w14:textId="77777777" w:rsidR="00C72168" w:rsidRDefault="00C72168">
                          <w:pPr>
                            <w:spacing w:line="275" w:lineRule="auto"/>
                            <w:textDirection w:val="btLr"/>
                          </w:pPr>
                        </w:p>
                      </w:txbxContent>
                    </wps:txbx>
                    <wps:bodyPr spcFirstLastPara="1" wrap="square" lIns="91425" tIns="45700" rIns="91425" bIns="45700" anchor="b" anchorCtr="0">
                      <a:noAutofit/>
                    </wps:bodyPr>
                  </wps:wsp>
                </a:graphicData>
              </a:graphic>
            </wp:anchor>
          </w:drawing>
        </mc:Choice>
        <mc:Fallback>
          <w:pict>
            <v:rect w14:anchorId="78798388" id="Rechteck 2018007577" o:spid="_x0000_s1028" style="position:absolute;left:0;text-align:left;margin-left:137.7pt;margin-top:30.45pt;width:98.1pt;height:50.9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bBlvwEAAGEDAAAOAAAAZHJzL2Uyb0RvYy54bWysU9uO0zAQfUfiHyy/01yapt2o7gqxKkJa&#13;&#10;QaWFD3Acu7EUX7DdJv17xk53W+AN8eLMTWfOnJlsHyc1oDN3XhpNcLHIMeKamU7qI8E/vu8/bDDy&#13;&#10;geqODkZzgi/c48fd+3fb0Ta8NL0ZOu4QgGjfjJbgPgTbZJlnPVfUL4zlGpLCOEUDuO6YdY6OgK6G&#13;&#10;rMzzOhuN66wzjHsP0ac5iXcJXwjOwjchPA9oIBi4hfS69LbxzXZb2hwdtb1kVxr0H1goKjU0fYN6&#13;&#10;ooGik5N/QSnJnPFGhAUzKjNCSMbTDDBNkf8xzUtPLU+zgDjevsnk/x8s+3p+sQcHMozWNx7MOMUk&#13;&#10;nIpf4Icmgqt1ud6UsMkLwcuqLlbVZhaOTwExKCjKZb2sVhgxqKiX9UO+igXZDck6Hz5zo1A0CHaw&#13;&#10;mKQXPT/7MJe+lsTG2uzlMKTlDPq3AGDGSHajG60wtROSHcFl7BsjrekuB4e8ZXsJLZ+pDwfqYLcF&#13;&#10;RiPsm2D/80Qdx2j4okHQh6IqYYCQnGq1zuFa3H2mvc9QzXoDZ9RiNJufQjqqmerHUzBCprFuVK6c&#13;&#10;YY9JmOvNxUO591PV7c/Y/QIAAP//AwBQSwMEFAAGAAgAAAAhAAeV9h/kAAAADwEAAA8AAABkcnMv&#13;&#10;ZG93bnJldi54bWxMj8FOwzAQRO9I/IO1SNyok5A4aRqnKiDEiUMKH+DGSxKI7Sh229CvZznBZaXV&#13;&#10;vpmdqbaLGdkJZz84KyFeRcDQtk4PtpPw/vZ8VwDzQVmtRmdRwjd62NbXV5UqtTvbBk/70DEysb5U&#13;&#10;EvoQppJz3/ZolF+5CS3dPtxsVKB17rie1ZnMzciTKBLcqMHSh15N+Nhj+7U/Ggnpku3i4r7JcF4X&#13;&#10;wr80l8vD66eUtzfL04bGbgMs4BL+FPDbgfJDTcEO7mi1Z6OEJM9SQiWIaA2MgDSPBbADkSLJgdcV&#13;&#10;/9+j/gEAAP//AwBQSwECLQAUAAYACAAAACEAtoM4kv4AAADhAQAAEwAAAAAAAAAAAAAAAAAAAAAA&#13;&#10;W0NvbnRlbnRfVHlwZXNdLnhtbFBLAQItABQABgAIAAAAIQA4/SH/1gAAAJQBAAALAAAAAAAAAAAA&#13;&#10;AAAAAC8BAABfcmVscy8ucmVsc1BLAQItABQABgAIAAAAIQAm9bBlvwEAAGEDAAAOAAAAAAAAAAAA&#13;&#10;AAAAAC4CAABkcnMvZTJvRG9jLnhtbFBLAQItABQABgAIAAAAIQAHlfYf5AAAAA8BAAAPAAAAAAAA&#13;&#10;AAAAAAAAABkEAABkcnMvZG93bnJldi54bWxQSwUGAAAAAAQABADzAAAAKgUAAAAA&#13;&#10;" filled="f" stroked="f">
              <v:textbox inset="2.53958mm,1.2694mm,2.53958mm,1.2694mm">
                <w:txbxContent>
                  <w:p w14:paraId="6F5F47DC" w14:textId="77777777" w:rsidR="00C72168" w:rsidRDefault="00C72168">
                    <w:pPr>
                      <w:spacing w:line="275" w:lineRule="auto"/>
                      <w:textDirection w:val="btLr"/>
                    </w:pPr>
                  </w:p>
                </w:txbxContent>
              </v:textbox>
              <w10:wrap anchorx="page" anchory="page"/>
            </v:rect>
          </w:pict>
        </mc:Fallback>
      </mc:AlternateContent>
    </w:r>
    <w:r>
      <w:rPr>
        <w:color w:val="000000"/>
        <w:sz w:val="16"/>
        <w:szCs w:val="16"/>
      </w:rPr>
      <w:t xml:space="preserve"> </w:t>
    </w:r>
    <w:r>
      <w:rPr>
        <w:color w:val="000000"/>
        <w:sz w:val="16"/>
        <w:szCs w:val="16"/>
      </w:rPr>
      <w:tab/>
    </w:r>
    <w:r>
      <w:rPr>
        <w:color w:val="000000"/>
        <w:sz w:val="16"/>
        <w:szCs w:val="16"/>
      </w:rPr>
      <w:tab/>
    </w:r>
    <w:r>
      <w:rPr>
        <w:noProof/>
      </w:rPr>
      <mc:AlternateContent>
        <mc:Choice Requires="wps">
          <w:drawing>
            <wp:anchor distT="0" distB="0" distL="114300" distR="114300" simplePos="0" relativeHeight="251661312" behindDoc="0" locked="0" layoutInCell="1" hidden="0" allowOverlap="1" wp14:anchorId="73BB1693" wp14:editId="6B5DE981">
              <wp:simplePos x="0" y="0"/>
              <wp:positionH relativeFrom="column">
                <wp:posOffset>-750570</wp:posOffset>
              </wp:positionH>
              <wp:positionV relativeFrom="paragraph">
                <wp:posOffset>-345439</wp:posOffset>
              </wp:positionV>
              <wp:extent cx="1971675" cy="647700"/>
              <wp:effectExtent l="0" t="0" r="0" b="0"/>
              <wp:wrapNone/>
              <wp:docPr id="2018007575" name="Textfeld 2018007575"/>
              <wp:cNvGraphicFramePr/>
              <a:graphic xmlns:a="http://schemas.openxmlformats.org/drawingml/2006/main">
                <a:graphicData uri="http://schemas.microsoft.com/office/word/2010/wordprocessingShape">
                  <wps:wsp>
                    <wps:cNvSpPr txBox="1"/>
                    <wps:spPr>
                      <a:xfrm>
                        <a:off x="0" y="0"/>
                        <a:ext cx="1971675" cy="647700"/>
                      </a:xfrm>
                      <a:prstGeom prst="rect">
                        <a:avLst/>
                      </a:prstGeom>
                      <a:noFill/>
                      <a:ln w="6350">
                        <a:noFill/>
                      </a:ln>
                    </wps:spPr>
                    <wps:txbx>
                      <w:txbxContent>
                        <w:p w14:paraId="0F97D6C2" w14:textId="77777777" w:rsidR="00000000" w:rsidRDefault="00000000" w:rsidP="00D20C08">
                          <w:r>
                            <w:rPr>
                              <w:noProof/>
                              <w:color w:val="000000"/>
                              <w:lang w:val="de-DE" w:eastAsia="de-DE"/>
                            </w:rPr>
                            <w:drawing>
                              <wp:inline distT="0" distB="0" distL="0" distR="0" wp14:anchorId="7CB9D36F" wp14:editId="7FF1397D">
                                <wp:extent cx="1552575" cy="476250"/>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BB1693" id="_x0000_t202" coordsize="21600,21600" o:spt="202" path="m,l,21600r21600,l21600,xe">
              <v:stroke joinstyle="miter"/>
              <v:path gradientshapeok="t" o:connecttype="rect"/>
            </v:shapetype>
            <v:shape id="Textfeld 2018007575" o:spid="_x0000_s1029" type="#_x0000_t202" style="position:absolute;left:0;text-align:left;margin-left:-59.1pt;margin-top:-27.2pt;width:155.2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iAmGgIAADMEAAAOAAAAZHJzL2Uyb0RvYy54bWysU1tv2yAUfp+0/4B4X+ykubRWnCprlWlS&#13;&#10;1VZKpz4TDDES5jAgsbNfvwPOTd2epr3gg8/9+z7m912jyV44r8CUdDjIKRGGQ6XMtqQ/3lZfbinx&#13;&#10;gZmKaTCipAfh6f3i86d5awsxghp0JRzBIsYXrS1pHYItsszzWjTMD8AKg04JrmEBr26bVY61WL3R&#13;&#10;2SjPp1kLrrIOuPAe/z72TrpI9aUUPLxI6UUguqQ4W0inS+cmntlizoqtY7ZW/DgG+4cpGqYMNj2X&#13;&#10;emSBkZ1Tf5RqFHfgQYYBhyYDKRUXaQfcZph/2GZdMyvSLgiOt2eY/P8ry5/3a/vqSOi+QocERkBa&#13;&#10;6wuPP+M+nXRN/OKkBP0I4eEMm+gC4THpbjacziaUcPRNx7NZnnDNLtnW+fBNQEOiUVKHtCS02P7J&#13;&#10;B+yIoaeQ2MzASmmdqNGGtFj0ZpKnhLMHM7TBxMus0QrdpiOqKunNaY8NVAdcz0HPvLd8pXCGJ+bD&#13;&#10;K3NINW6E8g0veEgN2AuOFiU1uF9/+x/jkQH0UtKidErqf+6YE5To7wa5uRuOx1Fr6TKezEZ4cdee&#13;&#10;zbXH7JoHQHUO8aFYnswYH/TJlA6ad1T5MnZFFzMce5c0nMyH0AsaXwkXy2UKQnVZFp7M2vJYOqIa&#13;&#10;EX7r3pmzRxoCEvgMJ5Gx4gMbfWzPx3IXQKpEVcS5R/UIPyozMXh8RVH61/cUdXnri98AAAD//wMA&#13;&#10;UEsDBBQABgAIAAAAIQCBWLeY5gAAABABAAAPAAAAZHJzL2Rvd25yZXYueG1sTE9NT4NAEL2b+B82&#13;&#10;Y+KtXUBakbI0DaYxMfXQj0tvA7sFIjuL7LZFf73bk14mM3lv3ke2HHXHLmqwrSEB4TQApqgysqVa&#13;&#10;wGG/niTArEOS2BlSAr6VhWV+f5dhKs2VtuqyczXzImRTFNA416ec26pRGu3U9Io8djKDRufPoeZy&#13;&#10;wKsX1x2PgmDONbbkHRrsVdGo6nN31gLei/UHbstIJz9d8bY5rfqvw3EmxOPD+LrwY7UA5tTo/j7g&#13;&#10;1sHnh9wHK82ZpGWdgEkYJpHn+m0Wx8BulJfoCVgpIH6eA88z/r9I/gsAAP//AwBQSwECLQAUAAYA&#13;&#10;CAAAACEAtoM4kv4AAADhAQAAEwAAAAAAAAAAAAAAAAAAAAAAW0NvbnRlbnRfVHlwZXNdLnhtbFBL&#13;&#10;AQItABQABgAIAAAAIQA4/SH/1gAAAJQBAAALAAAAAAAAAAAAAAAAAC8BAABfcmVscy8ucmVsc1BL&#13;&#10;AQItABQABgAIAAAAIQDYDiAmGgIAADMEAAAOAAAAAAAAAAAAAAAAAC4CAABkcnMvZTJvRG9jLnht&#13;&#10;bFBLAQItABQABgAIAAAAIQCBWLeY5gAAABABAAAPAAAAAAAAAAAAAAAAAHQEAABkcnMvZG93bnJl&#13;&#10;di54bWxQSwUGAAAAAAQABADzAAAAhwUAAAAA&#13;&#10;" filled="f" stroked="f" strokeweight=".5pt">
              <v:textbox>
                <w:txbxContent>
                  <w:p w14:paraId="0F97D6C2" w14:textId="77777777" w:rsidR="00000000" w:rsidRDefault="00000000" w:rsidP="00D20C08">
                    <w:r>
                      <w:rPr>
                        <w:noProof/>
                        <w:color w:val="000000"/>
                        <w:lang w:val="de-DE" w:eastAsia="de-DE"/>
                      </w:rPr>
                      <w:drawing>
                        <wp:inline distT="0" distB="0" distL="0" distR="0" wp14:anchorId="7CB9D36F" wp14:editId="7FF1397D">
                          <wp:extent cx="1552575" cy="476250"/>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txbxContent>
              </v:textbox>
            </v:shape>
          </w:pict>
        </mc:Fallback>
      </mc:AlternateContent>
    </w:r>
  </w:p>
  <w:p w14:paraId="3B128EB1" w14:textId="77777777" w:rsidR="00C72168" w:rsidRDefault="00C72168">
    <w:pPr>
      <w:pBdr>
        <w:top w:val="nil"/>
        <w:left w:val="nil"/>
        <w:bottom w:val="nil"/>
        <w:right w:val="nil"/>
        <w:between w:val="nil"/>
      </w:pBdr>
      <w:tabs>
        <w:tab w:val="center" w:pos="4153"/>
        <w:tab w:val="right" w:pos="8306"/>
      </w:tabs>
      <w:spacing w:after="200" w:line="240" w:lineRule="auto"/>
      <w:rPr>
        <w:rFonts w:ascii="Cambria" w:eastAsia="Cambria" w:hAnsi="Cambria" w:cs="Cambria"/>
        <w:color w:val="000000"/>
        <w:sz w:val="20"/>
        <w:szCs w:val="20"/>
      </w:rPr>
    </w:pPr>
  </w:p>
  <w:p w14:paraId="51F8E5BB" w14:textId="77777777" w:rsidR="00C72168" w:rsidRDefault="00C72168">
    <w:pPr>
      <w:pBdr>
        <w:top w:val="nil"/>
        <w:left w:val="nil"/>
        <w:bottom w:val="nil"/>
        <w:right w:val="nil"/>
        <w:between w:val="nil"/>
      </w:pBdr>
      <w:tabs>
        <w:tab w:val="center" w:pos="4153"/>
        <w:tab w:val="right" w:pos="8306"/>
      </w:tabs>
      <w:spacing w:after="200" w:line="240" w:lineRule="auto"/>
      <w:rPr>
        <w:rFonts w:ascii="Cambria" w:eastAsia="Cambria" w:hAnsi="Cambria" w:cs="Cambria"/>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68"/>
    <w:rsid w:val="008126A0"/>
    <w:rsid w:val="00BC5353"/>
    <w:rsid w:val="00C72168"/>
    <w:rsid w:val="00DA7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D6F4E37"/>
  <w15:docId w15:val="{70EFC6B8-162A-E24C-8448-B0E7BE25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8F6"/>
    <w:rPr>
      <w:lang w:val="de" w:eastAsia="zh-CN"/>
    </w:rPr>
  </w:style>
  <w:style w:type="paragraph" w:styleId="berschrift1">
    <w:name w:val="heading 1"/>
    <w:basedOn w:val="Standard"/>
    <w:next w:val="Standard"/>
    <w:link w:val="berschrift1Zchn"/>
    <w:uiPriority w:val="9"/>
    <w:qFormat/>
    <w:rsid w:val="00FD68F6"/>
    <w:pPr>
      <w:keepNext/>
      <w:keepLines/>
      <w:spacing w:before="240" w:line="240" w:lineRule="auto"/>
      <w:outlineLvl w:val="0"/>
    </w:pPr>
    <w:rPr>
      <w:rFonts w:asciiTheme="majorHAnsi" w:eastAsiaTheme="majorEastAsia" w:hAnsiTheme="majorHAnsi" w:cstheme="majorBidi"/>
      <w:color w:val="424F61" w:themeColor="accent1" w:themeShade="BF"/>
      <w:sz w:val="32"/>
      <w:szCs w:val="32"/>
      <w:lang w:val="en-US" w:eastAsia="en-G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rsid w:val="00F13679"/>
    <w:pPr>
      <w:tabs>
        <w:tab w:val="center" w:pos="4153"/>
        <w:tab w:val="right" w:pos="8306"/>
      </w:tabs>
      <w:snapToGrid w:val="0"/>
      <w:spacing w:after="200" w:line="240" w:lineRule="auto"/>
    </w:pPr>
    <w:rPr>
      <w:rFonts w:ascii="Cambria" w:hAnsi="Cambria" w:cs="Times New Roman"/>
      <w:sz w:val="20"/>
      <w:szCs w:val="20"/>
      <w:lang w:val="en-US" w:eastAsia="en-GB"/>
    </w:rPr>
  </w:style>
  <w:style w:type="character" w:customStyle="1" w:styleId="KopfzeileZchn">
    <w:name w:val="Kopfzeile Zchn"/>
    <w:link w:val="Kopfzeile"/>
    <w:uiPriority w:val="99"/>
    <w:locked/>
    <w:rsid w:val="00F13679"/>
    <w:rPr>
      <w:rFonts w:cs="Times New Roman"/>
      <w:lang w:val="en-US"/>
    </w:rPr>
  </w:style>
  <w:style w:type="paragraph" w:styleId="Fuzeile">
    <w:name w:val="footer"/>
    <w:basedOn w:val="Standard"/>
    <w:link w:val="FuzeileZchn"/>
    <w:rsid w:val="00F13679"/>
    <w:pPr>
      <w:tabs>
        <w:tab w:val="center" w:pos="4153"/>
        <w:tab w:val="right" w:pos="8306"/>
      </w:tabs>
      <w:snapToGrid w:val="0"/>
      <w:spacing w:after="200" w:line="240" w:lineRule="auto"/>
    </w:pPr>
    <w:rPr>
      <w:rFonts w:ascii="Cambria" w:hAnsi="Cambria" w:cs="Times New Roman"/>
      <w:sz w:val="20"/>
      <w:szCs w:val="20"/>
      <w:lang w:val="en-US" w:eastAsia="en-GB"/>
    </w:rPr>
  </w:style>
  <w:style w:type="character" w:customStyle="1" w:styleId="FuzeileZchn">
    <w:name w:val="Fußzeile Zchn"/>
    <w:link w:val="Fuzeile"/>
    <w:locked/>
    <w:rsid w:val="00F13679"/>
    <w:rPr>
      <w:rFonts w:cs="Times New Roman"/>
      <w:lang w:val="en-US"/>
    </w:rPr>
  </w:style>
  <w:style w:type="paragraph" w:styleId="Sprechblasentext">
    <w:name w:val="Balloon Text"/>
    <w:basedOn w:val="Standard"/>
    <w:link w:val="SprechblasentextZchn"/>
    <w:semiHidden/>
    <w:rsid w:val="00F13679"/>
    <w:pPr>
      <w:spacing w:line="240" w:lineRule="auto"/>
    </w:pPr>
    <w:rPr>
      <w:rFonts w:ascii="Cambria" w:hAnsi="Cambria" w:cs="Times New Roman"/>
      <w:sz w:val="18"/>
      <w:szCs w:val="18"/>
      <w:lang w:val="en-US" w:eastAsia="en-GB"/>
    </w:rPr>
  </w:style>
  <w:style w:type="character" w:customStyle="1" w:styleId="SprechblasentextZchn">
    <w:name w:val="Sprechblasentext Zchn"/>
    <w:link w:val="Sprechblasentext"/>
    <w:semiHidden/>
    <w:locked/>
    <w:rsid w:val="00F13679"/>
    <w:rPr>
      <w:rFonts w:ascii="Cambria" w:eastAsia="PMingLiU" w:hAnsi="Cambria" w:cs="Times New Roman"/>
      <w:sz w:val="18"/>
      <w:szCs w:val="18"/>
      <w:lang w:val="en-US"/>
    </w:rPr>
  </w:style>
  <w:style w:type="paragraph" w:customStyle="1" w:styleId="FreeForm">
    <w:name w:val="Free Form"/>
    <w:autoRedefine/>
    <w:rsid w:val="00FB0B68"/>
    <w:rPr>
      <w:rFonts w:eastAsia="Times New Roman"/>
      <w:color w:val="000000"/>
      <w:sz w:val="24"/>
      <w:szCs w:val="24"/>
      <w:lang w:val="en-US"/>
    </w:rPr>
  </w:style>
  <w:style w:type="character" w:styleId="Hyperlink">
    <w:name w:val="Hyperlink"/>
    <w:uiPriority w:val="99"/>
    <w:rsid w:val="00200F39"/>
    <w:rPr>
      <w:color w:val="0000FF"/>
      <w:u w:val="single"/>
      <w:lang w:val="en-US"/>
    </w:rPr>
  </w:style>
  <w:style w:type="paragraph" w:customStyle="1" w:styleId="western">
    <w:name w:val="western"/>
    <w:basedOn w:val="Standard"/>
    <w:rsid w:val="00C9678C"/>
    <w:pPr>
      <w:spacing w:before="100" w:beforeAutospacing="1" w:after="142" w:line="288" w:lineRule="auto"/>
    </w:pPr>
    <w:rPr>
      <w:rFonts w:asciiTheme="minorHAnsi" w:eastAsia="Times New Roman" w:hAnsiTheme="minorHAnsi" w:cs="Times New Roman"/>
      <w:sz w:val="24"/>
      <w:szCs w:val="24"/>
      <w:lang w:val="en-US" w:eastAsia="en-GB"/>
    </w:rPr>
  </w:style>
  <w:style w:type="table" w:styleId="Tabellenraster">
    <w:name w:val="Table Grid"/>
    <w:basedOn w:val="NormaleTabelle"/>
    <w:locked/>
    <w:rsid w:val="00552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F6686"/>
    <w:rPr>
      <w:color w:val="808080"/>
      <w:lang w:val="en-US"/>
    </w:rPr>
  </w:style>
  <w:style w:type="character" w:customStyle="1" w:styleId="berschrift1Zchn">
    <w:name w:val="Überschrift 1 Zchn"/>
    <w:basedOn w:val="Absatz-Standardschriftart"/>
    <w:link w:val="berschrift1"/>
    <w:rsid w:val="00FD68F6"/>
    <w:rPr>
      <w:rFonts w:asciiTheme="majorHAnsi" w:eastAsiaTheme="majorEastAsia" w:hAnsiTheme="majorHAnsi" w:cstheme="majorBidi"/>
      <w:color w:val="424F61" w:themeColor="accent1" w:themeShade="BF"/>
      <w:sz w:val="32"/>
      <w:szCs w:val="32"/>
      <w:lang w:val="en-US"/>
    </w:rPr>
  </w:style>
  <w:style w:type="character" w:customStyle="1" w:styleId="ui-provider">
    <w:name w:val="ui-provider"/>
    <w:basedOn w:val="Absatz-Standardschriftart"/>
    <w:rsid w:val="00FD68F6"/>
  </w:style>
  <w:style w:type="paragraph" w:styleId="StandardWeb">
    <w:name w:val="Normal (Web)"/>
    <w:basedOn w:val="Standard"/>
    <w:uiPriority w:val="99"/>
    <w:unhideWhenUsed/>
    <w:rsid w:val="00FD68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locked/>
    <w:rsid w:val="00FD68F6"/>
    <w:rPr>
      <w:b/>
      <w:bCs/>
    </w:rPr>
  </w:style>
  <w:style w:type="character" w:styleId="NichtaufgelsteErwhnung">
    <w:name w:val="Unresolved Mention"/>
    <w:basedOn w:val="Absatz-Standardschriftart"/>
    <w:uiPriority w:val="99"/>
    <w:semiHidden/>
    <w:unhideWhenUsed/>
    <w:rsid w:val="00DD6722"/>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lta-emea.com/en-GB/inde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bike.com/frankfurt/en/exhibitor-search.detail.html/delta-electronics-netherlands-bv.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ani-o.com/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elta-emea.com/de-DE/index" TargetMode="External"/><Relationship Id="rId4" Type="http://schemas.openxmlformats.org/officeDocument/2006/relationships/webSettings" Target="webSettings.xml"/><Relationship Id="rId9" Type="http://schemas.openxmlformats.org/officeDocument/2006/relationships/hyperlink" Target="https://eurobike.com/frankfurt/en/exhibitor-search.detail.html/delta-electronics-netherlands-bv.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lta">
      <a:dk1>
        <a:srgbClr val="414141"/>
      </a:dk1>
      <a:lt1>
        <a:sysClr val="window" lastClr="FFFFFF"/>
      </a:lt1>
      <a:dk2>
        <a:srgbClr val="414141"/>
      </a:dk2>
      <a:lt2>
        <a:srgbClr val="F2F2F2"/>
      </a:lt2>
      <a:accent1>
        <a:srgbClr val="586A82"/>
      </a:accent1>
      <a:accent2>
        <a:srgbClr val="0087DC"/>
      </a:accent2>
      <a:accent3>
        <a:srgbClr val="64D7D7"/>
      </a:accent3>
      <a:accent4>
        <a:srgbClr val="B9EB5F"/>
      </a:accent4>
      <a:accent5>
        <a:srgbClr val="FFAA00"/>
      </a:accent5>
      <a:accent6>
        <a:srgbClr val="E53D00"/>
      </a:accent6>
      <a:hlink>
        <a:srgbClr val="0563C1"/>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2d+4qofq+tMkh24IGtBWOlDDg==">CgMxLjA4AHIhMU5JdXdIS0ZtT0lURHBXWldTYzQxR1kwWlpZZVV4MjJm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5006</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Appeldoorn</dc:creator>
  <cp:lastModifiedBy>Dani Odesser | Dani O. Kommunikation</cp:lastModifiedBy>
  <cp:revision>2</cp:revision>
  <dcterms:created xsi:type="dcterms:W3CDTF">2024-06-20T08:15:00Z</dcterms:created>
  <dcterms:modified xsi:type="dcterms:W3CDTF">2024-06-23T12:29:00Z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0x010100AED8E6AD952BA74A855EB02C79D83CD1</vt:lpwstr>
  </property>
  <property fmtid="{D5CDD505-2E9C-101B-9397-08002B2CF9AE}" pid="3" name="Order">
    <vt:lpwstr>1600</vt:lpwstr>
  </property>
  <property fmtid="{D5CDD505-2E9C-101B-9397-08002B2CF9AE}" pid="4" name="xd_ProgID">
    <vt:lpwstr>xd_ProgID</vt:lpwstr>
  </property>
  <property fmtid="{D5CDD505-2E9C-101B-9397-08002B2CF9AE}" pid="5" name="TemplateUrl">
    <vt:lpwstr>TemplateUrl</vt:lpwstr>
  </property>
  <property fmtid="{D5CDD505-2E9C-101B-9397-08002B2CF9AE}" pid="6" name="MediaServiceImageTags">
    <vt:lpwstr>MediaServiceImageTags</vt:lpwstr>
  </property>
  <property fmtid="{D5CDD505-2E9C-101B-9397-08002B2CF9AE}" pid="7" name="GrammarlyDocumentId">
    <vt:lpwstr>56bf509e8937b93297982f005ebdf9d1118ec7f96e566425f751a40b323d4256</vt:lpwstr>
  </property>
  <property fmtid="{D5CDD505-2E9C-101B-9397-08002B2CF9AE}" pid="8" name="TemplafyTenantId">
    <vt:lpwstr>delta</vt:lpwstr>
  </property>
  <property fmtid="{D5CDD505-2E9C-101B-9397-08002B2CF9AE}" pid="9" name="TemplafyTemplateId">
    <vt:lpwstr>933227622711689220</vt:lpwstr>
  </property>
  <property fmtid="{D5CDD505-2E9C-101B-9397-08002B2CF9AE}" pid="10" name="TemplafyUserProfileId">
    <vt:lpwstr>793710059646093510</vt:lpwstr>
  </property>
  <property fmtid="{D5CDD505-2E9C-101B-9397-08002B2CF9AE}" pid="11" name="TemplafyLanguageCode">
    <vt:lpwstr>en-US</vt:lpwstr>
  </property>
  <property fmtid="{D5CDD505-2E9C-101B-9397-08002B2CF9AE}" pid="12" name="TemplafyFromBlank">
    <vt:lpwstr>true</vt:lpwstr>
  </property>
</Properties>
</file>